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ACCBA">
      <w:pPr>
        <w:jc w:val="center"/>
        <w:rPr>
          <w:rFonts w:hint="eastAsia" w:ascii="宋体" w:hAnsi="宋体" w:eastAsia="宋体" w:cs="Times New Roman"/>
          <w:b/>
          <w:bCs/>
          <w:w w:val="90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w w:val="90"/>
          <w:sz w:val="32"/>
          <w:szCs w:val="32"/>
        </w:rPr>
        <w:t>华东理工大学马克思主义研究院</w:t>
      </w:r>
    </w:p>
    <w:p w14:paraId="7DF0C21B">
      <w:pPr>
        <w:jc w:val="center"/>
        <w:rPr>
          <w:rFonts w:hint="eastAsia" w:ascii="宋体" w:hAnsi="宋体" w:eastAsia="宋体" w:cs="Times New Roman"/>
          <w:b/>
          <w:bCs/>
          <w:w w:val="90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w w:val="90"/>
          <w:sz w:val="32"/>
          <w:szCs w:val="32"/>
        </w:rPr>
        <w:t>2025年度课题指南</w:t>
      </w:r>
    </w:p>
    <w:p w14:paraId="1F26C3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jc w:val="both"/>
        <w:textAlignment w:val="auto"/>
        <w:rPr>
          <w:rFonts w:hint="eastAsia"/>
          <w:color w:val="auto"/>
          <w:sz w:val="28"/>
          <w:szCs w:val="28"/>
          <w:lang w:val="en-US" w:eastAsia="zh-CN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马克思主义理论创新与中国自主知识体系建构研究</w:t>
      </w:r>
    </w:p>
    <w:p w14:paraId="766B5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中国特色社会主义话语体系构建研究</w:t>
      </w:r>
    </w:p>
    <w:p w14:paraId="3B6513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当代马克思主义社会学研究</w:t>
      </w:r>
    </w:p>
    <w:p w14:paraId="5AAF0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当代马克思主义生态文明思想研究</w:t>
      </w:r>
    </w:p>
    <w:p w14:paraId="3B659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新时代中国共产党“三农”观研究</w:t>
      </w:r>
    </w:p>
    <w:p w14:paraId="0831F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新时代干部制度建设的理论与实践</w:t>
      </w:r>
      <w:r>
        <w:rPr>
          <w:rFonts w:hint="eastAsia"/>
          <w:sz w:val="28"/>
          <w:szCs w:val="28"/>
          <w:lang w:val="en-US" w:eastAsia="zh-CN"/>
        </w:rPr>
        <w:t>研究</w:t>
      </w:r>
    </w:p>
    <w:p w14:paraId="5083C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中国特色数字法治理论研究</w:t>
      </w:r>
    </w:p>
    <w:p w14:paraId="0FC03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人工智能赋能中国式现代化研究</w:t>
      </w:r>
    </w:p>
    <w:p w14:paraId="48D45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人工智能时代国家文化安全风险治理研究</w:t>
      </w:r>
    </w:p>
    <w:p w14:paraId="264E6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中国式现代化的文明辩证法与全球治理研究</w:t>
      </w:r>
    </w:p>
    <w:p w14:paraId="64CB5F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高水平社会主义市场经济体制的世界历史向度研究</w:t>
      </w:r>
    </w:p>
    <w:p w14:paraId="6DB8C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1560" w:leftChars="200" w:hanging="1120" w:hangingChars="4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科技创新与产业创新融合推动新质生产力发展研究</w:t>
      </w:r>
    </w:p>
    <w:p w14:paraId="4738CE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网络空间马克思主义中国化时代化</w:t>
      </w:r>
      <w:r>
        <w:rPr>
          <w:rFonts w:hint="eastAsia"/>
          <w:sz w:val="28"/>
          <w:szCs w:val="28"/>
          <w:lang w:val="en-US" w:eastAsia="zh-CN"/>
        </w:rPr>
        <w:t>研究</w:t>
      </w:r>
    </w:p>
    <w:p w14:paraId="49BD3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网络视听意识形态传播及治理研究</w:t>
      </w:r>
    </w:p>
    <w:p w14:paraId="0C7634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color w:val="auto"/>
          <w:sz w:val="28"/>
          <w:szCs w:val="28"/>
          <w:lang w:val="en-US" w:eastAsia="zh-CN"/>
        </w:rPr>
        <w:t>人民城市建设的内在逻辑与行动策略研究</w:t>
      </w:r>
    </w:p>
    <w:p w14:paraId="6C844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79" w:lineRule="auto"/>
        <w:ind w:left="440" w:leftChars="200"/>
        <w:textAlignment w:val="auto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以城乡融合推进乡村全面振</w:t>
      </w:r>
      <w:bookmarkStart w:id="0" w:name="_GoBack"/>
      <w:bookmarkEnd w:id="0"/>
      <w:r>
        <w:rPr>
          <w:rFonts w:hint="eastAsia"/>
          <w:sz w:val="28"/>
          <w:szCs w:val="28"/>
        </w:rPr>
        <w:t>兴的理论与实践</w:t>
      </w:r>
      <w:r>
        <w:rPr>
          <w:rFonts w:hint="eastAsia"/>
          <w:sz w:val="28"/>
          <w:szCs w:val="28"/>
          <w:lang w:val="en-US" w:eastAsia="zh-CN"/>
        </w:rPr>
        <w:t>研究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